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Bdr>
          <w:bottom w:val="nil"/>
        </w:pBdr>
      </w:pPr>
      <w:r>
        <w:t>River Hills Employee Advisory Council Meeting Minutes</w:t>
      </w:r>
    </w:p>
    <w:p>
      <w:r>
        <w:t>September meeting  |  Exact date and year not confirmed in the dictation  |  Internal draft</w:t>
      </w:r>
    </w:p>
    <w:p>
      <w:r>
        <w:t>The council reviewed progress on employee recommendations and agreed to move several communication, inventory, recycling, and workplace respect items forward. Items still needing policy approval or technical review are identified below.</w:t>
      </w:r>
    </w:p>
    <w:p>
      <w:pPr>
        <w:pStyle w:val="Heading1"/>
      </w:pPr>
      <w:r>
        <w:t>Participation and council purpose</w:t>
      </w:r>
    </w:p>
    <w:p>
      <w:r>
        <w:t>Megan and Emily were welcomed as clinic representatives. Members were encouraged to recruit colleagues from more locations and disciplines. The council reviewed the path from employee concerns to EAC recommendations, approval, and rollout, and emphasized communicating the status of each item accurately. Board directors have been invited to observe future EAC meetings in person or virtually; council members remain the channel for employee input. Board meetings themselves were described as closed, with a route to send a matter to the board through Joy.</w:t>
      </w:r>
    </w:p>
    <w:p>
      <w:pPr>
        <w:pStyle w:val="Heading1"/>
      </w:pPr>
      <w:r>
        <w:t>Decisions and discussion</w:t>
      </w:r>
    </w:p>
    <w:p>
      <w:pPr>
        <w:pStyle w:val="Heading2"/>
      </w:pPr>
      <w:r>
        <w:t>Communication tools and conference rooms</w:t>
      </w:r>
    </w:p>
    <w:p>
      <w:r>
        <w:t>Members supported the revised conference room etiquette guide after an edit to its water provision. Molly received approval to print, laminate, and distribute it. Rooms are reserved by adding a conference room as an attendee in an Outlook event; searching “conf” displays room options, with availability and a confirmation or denial response. The communication guide will include room booking instructions and information on downloading and using Intermedia Unite.</w:t>
      </w:r>
    </w:p>
    <w:p>
      <w:r>
        <w:t>The communication guide is close to release. The lead will incorporate manager comments and clinic feedback from Megan and Emily, then distribute it. Members asked that it clarify that Epic Secure Chat is for secure patient care coordination, including between clinics and specialties. Chat content does not become part of the patient chart and was said to disappear after 30 days; information that must remain in the chart requires separate documentation. Staff should verify the patient identity and avoid mixing patients in one thread. The guide should distinguish Secure Chat from Vocera, where spoken patient identifiers may be overheard, and describe Intermedia Unite as a phone option on a computer or mobile device. Epic notification settings and Intermedia reliability concerns need follow-up with the appropriate technical contacts.</w:t>
      </w:r>
    </w:p>
    <w:p>
      <w:pPr>
        <w:pStyle w:val="Heading2"/>
      </w:pPr>
      <w:r>
        <w:t>Shared inventory and recognition</w:t>
      </w:r>
    </w:p>
    <w:p>
      <w:r>
        <w:t>The shared inventory is substantially complete and will be updated as items arrive from Centerville and Richmond. The team agreed to make the spreadsheet viewable to staff while limiting edit access, place it in a shared location, and announce the location to all staff. The “ask before you purchase” approach can then be put into use.</w:t>
      </w:r>
    </w:p>
    <w:p>
      <w:r>
        <w:t>The council revisited a possible Everyday Excellence program: colleagues could nominate someone for work above and beyond normal duties; nominees would be recognized, and one or more names could be drawn for a modest prize. A small acknowledgment for every nominee was also discussed. Program design, prize cost, and safeguards against reciprocal nominations remain open.</w:t>
      </w:r>
    </w:p>
    <w:p>
      <w:pPr>
        <w:pStyle w:val="Heading2"/>
      </w:pPr>
      <w:r>
        <w:t>Recycling and medication returns</w:t>
      </w:r>
    </w:p>
    <w:p>
      <w:r>
        <w:t>Battery collection is receiving contributions from departments. Penn Avenue has joined regular material recycling through a red tote collected on Tuesday mornings near the dumpster; its battery collection point is in reception. Wes or another designated member will send an all-staff reminder and thank-you with EAC branding. Lori Palmer will investigate safe medication return and disposal options with pharmacy, including a central collection box, disposal packets, and secure collection with transport from satellite clinics. These were possibilities discussed, not an approved procedure.</w:t>
      </w:r>
    </w:p>
    <w:p>
      <w:pPr>
        <w:pStyle w:val="Heading2"/>
      </w:pPr>
      <w:r>
        <w:t>Workplace policies and engagement</w:t>
      </w:r>
    </w:p>
    <w:p>
      <w:r>
        <w:t>The council selected October for civility and anti-bullying awareness. Education and simple activities will be coordinated through the EAC Teams chat. The lead will circulate the current dress code draft and recognition materials for feedback; a revised dress code is targeted for the October approval process, including necessary legal review in light of the bargaining unit. Members discussed broader jeans access tied to the endowment and agreed that clothing should remain professional, with River Hills branded shirts favored over general T-shirts or hoodies. No change to the jeans arrangement was approved at this meeting.</w:t>
      </w:r>
    </w:p>
    <w:p>
      <w:r>
        <w:t>Ben will explore a weekly all-staff policy spotlight with a feedback channel, along with searchable policy tracking and possible QR code access. HealthStream and other systems already in use will be checked for these functions. Members also noted inconsistent department meetings. Lori offered to present on 340B and EAC at Penn Avenue in October, with scheduling to be coordinated through Heather.</w:t>
      </w:r>
    </w:p>
    <w:p>
      <w:pPr>
        <w:pStyle w:val="Heading1"/>
      </w:pPr>
      <w:r>
        <w:t>Action items</w:t>
      </w:r>
    </w:p>
    <w:tbl>
      <w:tblPr>
        <w:tblW w:type="auto" w:w="0"/>
        <w:jc w:val="center"/>
        <w:tblLayout w:type="fixed"/>
        <w:tblLook w:firstColumn="1" w:firstRow="1" w:lastColumn="0" w:lastRow="0" w:noHBand="0" w:noVBand="1" w:val="04A0"/>
      </w:tblPr>
      <w:tblGrid>
        <w:gridCol w:w="1800"/>
        <w:gridCol w:w="5832"/>
        <w:gridCol w:w="2232"/>
      </w:tblGrid>
      <w:tr>
        <w:trPr>
          <w:tblHeader/>
          <w:cantSplit/>
        </w:trPr>
        <w:tc>
          <w:tcPr>
            <w:tcW w:type="dxa" w:w="1800"/>
            <w:vAlign w:val="center"/>
            <w:tcBorders>
              <w:top w:val="single" w:sz="4" w:color="D9D9D9"/>
              <w:left w:val="single" w:sz="4" w:color="D9D9D9"/>
              <w:bottom w:val="single" w:sz="4" w:color="D9D9D9"/>
              <w:right w:val="single" w:sz="4" w:color="D9D9D9"/>
            </w:tcBorders>
            <w:shd w:fill="E8EEF4"/>
            <w:tcMar>
              <w:top w:w="75" w:type="dxa"/>
              <w:bottom w:w="75" w:type="dxa"/>
              <w:left w:w="95" w:type="dxa"/>
              <w:right w:w="95" w:type="dxa"/>
            </w:tcMar>
          </w:tcPr>
          <w:p>
            <w:pPr>
              <w:spacing w:after="0" w:line="259" w:lineRule="auto"/>
            </w:pPr>
            <w:r>
              <w:rPr>
                <w:b/>
                <w:sz w:val="16"/>
              </w:rPr>
              <w:t>Owner</w:t>
            </w:r>
          </w:p>
        </w:tc>
        <w:tc>
          <w:tcPr>
            <w:tcW w:type="dxa" w:w="5832"/>
            <w:vAlign w:val="center"/>
            <w:tcBorders>
              <w:top w:val="single" w:sz="4" w:color="D9D9D9"/>
              <w:left w:val="single" w:sz="4" w:color="D9D9D9"/>
              <w:bottom w:val="single" w:sz="4" w:color="D9D9D9"/>
              <w:right w:val="single" w:sz="4" w:color="D9D9D9"/>
            </w:tcBorders>
            <w:shd w:fill="E8EEF4"/>
            <w:tcMar>
              <w:top w:w="75" w:type="dxa"/>
              <w:bottom w:w="75" w:type="dxa"/>
              <w:left w:w="95" w:type="dxa"/>
              <w:right w:w="95" w:type="dxa"/>
            </w:tcMar>
          </w:tcPr>
          <w:p>
            <w:pPr>
              <w:spacing w:after="0" w:line="259" w:lineRule="auto"/>
            </w:pPr>
            <w:r>
              <w:rPr>
                <w:b/>
                <w:sz w:val="16"/>
              </w:rPr>
              <w:t>Action</w:t>
            </w:r>
          </w:p>
        </w:tc>
        <w:tc>
          <w:tcPr>
            <w:tcW w:type="dxa" w:w="2232"/>
            <w:vAlign w:val="center"/>
            <w:tcBorders>
              <w:top w:val="single" w:sz="4" w:color="D9D9D9"/>
              <w:left w:val="single" w:sz="4" w:color="D9D9D9"/>
              <w:bottom w:val="single" w:sz="4" w:color="D9D9D9"/>
              <w:right w:val="single" w:sz="4" w:color="D9D9D9"/>
            </w:tcBorders>
            <w:shd w:fill="E8EEF4"/>
            <w:tcMar>
              <w:top w:w="75" w:type="dxa"/>
              <w:bottom w:w="75" w:type="dxa"/>
              <w:left w:w="95" w:type="dxa"/>
              <w:right w:w="95" w:type="dxa"/>
            </w:tcMar>
          </w:tcPr>
          <w:p>
            <w:pPr>
              <w:spacing w:after="0" w:line="259" w:lineRule="auto"/>
            </w:pPr>
            <w:r>
              <w:rPr>
                <w:b/>
                <w:sz w:val="16"/>
              </w:rPr>
              <w:t>Timing or status</w:t>
            </w:r>
          </w:p>
        </w:tc>
      </w:tr>
      <w:tr>
        <w:trPr>
          <w:cantSplit/>
        </w:trPr>
        <w:tc>
          <w:tcPr>
            <w:tcW w:type="dxa" w:w="1800"/>
            <w:vAlign w:val="center"/>
            <w:tcBorders>
              <w:top w:val="single" w:sz="4" w:color="D9D9D9"/>
              <w:left w:val="single" w:sz="4" w:color="D9D9D9"/>
              <w:bottom w:val="single" w:sz="4" w:color="D9D9D9"/>
              <w:right w:val="single" w:sz="4" w:color="D9D9D9"/>
            </w:tcBorders>
            <w:tcMar>
              <w:top w:w="75" w:type="dxa"/>
              <w:bottom w:w="75" w:type="dxa"/>
              <w:left w:w="95" w:type="dxa"/>
              <w:right w:w="95" w:type="dxa"/>
            </w:tcMar>
          </w:tcPr>
          <w:p>
            <w:pPr>
              <w:spacing w:after="0" w:line="259" w:lineRule="auto"/>
            </w:pPr>
            <w:r>
              <w:rPr>
                <w:sz w:val="16"/>
              </w:rPr>
              <w:t>Molly</w:t>
            </w:r>
          </w:p>
        </w:tc>
        <w:tc>
          <w:tcPr>
            <w:tcW w:type="dxa" w:w="5832"/>
            <w:vAlign w:val="center"/>
            <w:tcBorders>
              <w:top w:val="single" w:sz="4" w:color="D9D9D9"/>
              <w:left w:val="single" w:sz="4" w:color="D9D9D9"/>
              <w:bottom w:val="single" w:sz="4" w:color="D9D9D9"/>
              <w:right w:val="single" w:sz="4" w:color="D9D9D9"/>
            </w:tcBorders>
            <w:tcMar>
              <w:top w:w="75" w:type="dxa"/>
              <w:bottom w:w="75" w:type="dxa"/>
              <w:left w:w="95" w:type="dxa"/>
              <w:right w:w="95" w:type="dxa"/>
            </w:tcMar>
          </w:tcPr>
          <w:p>
            <w:pPr>
              <w:spacing w:after="0" w:line="259" w:lineRule="auto"/>
            </w:pPr>
            <w:r>
              <w:rPr>
                <w:sz w:val="16"/>
              </w:rPr>
              <w:t>Print, laminate, and distribute the approved conference room etiquette guide.</w:t>
            </w:r>
          </w:p>
        </w:tc>
        <w:tc>
          <w:tcPr>
            <w:tcW w:type="dxa" w:w="2232"/>
            <w:vAlign w:val="center"/>
            <w:tcBorders>
              <w:top w:val="single" w:sz="4" w:color="D9D9D9"/>
              <w:left w:val="single" w:sz="4" w:color="D9D9D9"/>
              <w:bottom w:val="single" w:sz="4" w:color="D9D9D9"/>
              <w:right w:val="single" w:sz="4" w:color="D9D9D9"/>
            </w:tcBorders>
            <w:tcMar>
              <w:top w:w="75" w:type="dxa"/>
              <w:bottom w:w="75" w:type="dxa"/>
              <w:left w:w="95" w:type="dxa"/>
              <w:right w:w="95" w:type="dxa"/>
            </w:tcMar>
          </w:tcPr>
          <w:p>
            <w:pPr>
              <w:spacing w:after="0" w:line="259" w:lineRule="auto"/>
            </w:pPr>
            <w:r>
              <w:rPr>
                <w:sz w:val="16"/>
              </w:rPr>
              <w:t>Approved; proceed</w:t>
            </w:r>
          </w:p>
        </w:tc>
      </w:tr>
      <w:tr>
        <w:trPr>
          <w:cantSplit/>
        </w:trPr>
        <w:tc>
          <w:tcPr>
            <w:tcW w:type="dxa" w:w="1800"/>
            <w:vAlign w:val="center"/>
            <w:tcBorders>
              <w:top w:val="single" w:sz="4" w:color="D9D9D9"/>
              <w:left w:val="single" w:sz="4" w:color="D9D9D9"/>
              <w:bottom w:val="single" w:sz="4" w:color="D9D9D9"/>
              <w:right w:val="single" w:sz="4" w:color="D9D9D9"/>
            </w:tcBorders>
            <w:shd w:fill="F7F9FB"/>
            <w:tcMar>
              <w:top w:w="75" w:type="dxa"/>
              <w:bottom w:w="75" w:type="dxa"/>
              <w:left w:w="95" w:type="dxa"/>
              <w:right w:w="95" w:type="dxa"/>
            </w:tcMar>
          </w:tcPr>
          <w:p>
            <w:pPr>
              <w:spacing w:after="0" w:line="259" w:lineRule="auto"/>
            </w:pPr>
            <w:r>
              <w:rPr>
                <w:sz w:val="16"/>
              </w:rPr>
              <w:t>Molly and Wes</w:t>
            </w:r>
          </w:p>
        </w:tc>
        <w:tc>
          <w:tcPr>
            <w:tcW w:type="dxa" w:w="5832"/>
            <w:vAlign w:val="center"/>
            <w:tcBorders>
              <w:top w:val="single" w:sz="4" w:color="D9D9D9"/>
              <w:left w:val="single" w:sz="4" w:color="D9D9D9"/>
              <w:bottom w:val="single" w:sz="4" w:color="D9D9D9"/>
              <w:right w:val="single" w:sz="4" w:color="D9D9D9"/>
            </w:tcBorders>
            <w:shd w:fill="F7F9FB"/>
            <w:tcMar>
              <w:top w:w="75" w:type="dxa"/>
              <w:bottom w:w="75" w:type="dxa"/>
              <w:left w:w="95" w:type="dxa"/>
              <w:right w:w="95" w:type="dxa"/>
            </w:tcMar>
          </w:tcPr>
          <w:p>
            <w:pPr>
              <w:spacing w:after="0" w:line="259" w:lineRule="auto"/>
            </w:pPr>
            <w:r>
              <w:rPr>
                <w:sz w:val="16"/>
              </w:rPr>
              <w:t>Finalize shared inventory, restrict editing, and place it where staff can view it.</w:t>
            </w:r>
          </w:p>
        </w:tc>
        <w:tc>
          <w:tcPr>
            <w:tcW w:type="dxa" w:w="2232"/>
            <w:vAlign w:val="center"/>
            <w:tcBorders>
              <w:top w:val="single" w:sz="4" w:color="D9D9D9"/>
              <w:left w:val="single" w:sz="4" w:color="D9D9D9"/>
              <w:bottom w:val="single" w:sz="4" w:color="D9D9D9"/>
              <w:right w:val="single" w:sz="4" w:color="D9D9D9"/>
            </w:tcBorders>
            <w:shd w:fill="F7F9FB"/>
            <w:tcMar>
              <w:top w:w="75" w:type="dxa"/>
              <w:bottom w:w="75" w:type="dxa"/>
              <w:left w:w="95" w:type="dxa"/>
              <w:right w:w="95" w:type="dxa"/>
            </w:tcMar>
          </w:tcPr>
          <w:p>
            <w:pPr>
              <w:spacing w:after="0" w:line="259" w:lineRule="auto"/>
            </w:pPr>
            <w:r>
              <w:rPr>
                <w:sz w:val="16"/>
              </w:rPr>
              <w:t>Target discussed: end of week</w:t>
            </w:r>
          </w:p>
        </w:tc>
      </w:tr>
      <w:tr>
        <w:trPr>
          <w:cantSplit/>
        </w:trPr>
        <w:tc>
          <w:tcPr>
            <w:tcW w:type="dxa" w:w="1800"/>
            <w:vAlign w:val="center"/>
            <w:tcBorders>
              <w:top w:val="single" w:sz="4" w:color="D9D9D9"/>
              <w:left w:val="single" w:sz="4" w:color="D9D9D9"/>
              <w:bottom w:val="single" w:sz="4" w:color="D9D9D9"/>
              <w:right w:val="single" w:sz="4" w:color="D9D9D9"/>
            </w:tcBorders>
            <w:tcMar>
              <w:top w:w="75" w:type="dxa"/>
              <w:bottom w:w="75" w:type="dxa"/>
              <w:left w:w="95" w:type="dxa"/>
              <w:right w:w="95" w:type="dxa"/>
            </w:tcMar>
          </w:tcPr>
          <w:p>
            <w:pPr>
              <w:spacing w:after="0" w:line="259" w:lineRule="auto"/>
            </w:pPr>
            <w:r>
              <w:rPr>
                <w:sz w:val="16"/>
              </w:rPr>
              <w:t>Designated inventory contact</w:t>
            </w:r>
          </w:p>
        </w:tc>
        <w:tc>
          <w:tcPr>
            <w:tcW w:type="dxa" w:w="5832"/>
            <w:vAlign w:val="center"/>
            <w:tcBorders>
              <w:top w:val="single" w:sz="4" w:color="D9D9D9"/>
              <w:left w:val="single" w:sz="4" w:color="D9D9D9"/>
              <w:bottom w:val="single" w:sz="4" w:color="D9D9D9"/>
              <w:right w:val="single" w:sz="4" w:color="D9D9D9"/>
            </w:tcBorders>
            <w:tcMar>
              <w:top w:w="75" w:type="dxa"/>
              <w:bottom w:w="75" w:type="dxa"/>
              <w:left w:w="95" w:type="dxa"/>
              <w:right w:w="95" w:type="dxa"/>
            </w:tcMar>
          </w:tcPr>
          <w:p>
            <w:pPr>
              <w:spacing w:after="0" w:line="259" w:lineRule="auto"/>
            </w:pPr>
            <w:r>
              <w:rPr>
                <w:sz w:val="16"/>
              </w:rPr>
              <w:t>Email all staff the inventory location and “ask before you purchase” guidance.</w:t>
            </w:r>
          </w:p>
        </w:tc>
        <w:tc>
          <w:tcPr>
            <w:tcW w:type="dxa" w:w="2232"/>
            <w:vAlign w:val="center"/>
            <w:tcBorders>
              <w:top w:val="single" w:sz="4" w:color="D9D9D9"/>
              <w:left w:val="single" w:sz="4" w:color="D9D9D9"/>
              <w:bottom w:val="single" w:sz="4" w:color="D9D9D9"/>
              <w:right w:val="single" w:sz="4" w:color="D9D9D9"/>
            </w:tcBorders>
            <w:tcMar>
              <w:top w:w="75" w:type="dxa"/>
              <w:bottom w:w="75" w:type="dxa"/>
              <w:left w:w="95" w:type="dxa"/>
              <w:right w:w="95" w:type="dxa"/>
            </w:tcMar>
          </w:tcPr>
          <w:p>
            <w:pPr>
              <w:spacing w:after="0" w:line="259" w:lineRule="auto"/>
            </w:pPr>
            <w:r>
              <w:rPr>
                <w:sz w:val="16"/>
              </w:rPr>
              <w:t>After the view-only version is available</w:t>
            </w:r>
          </w:p>
        </w:tc>
      </w:tr>
      <w:tr>
        <w:trPr>
          <w:cantSplit/>
        </w:trPr>
        <w:tc>
          <w:tcPr>
            <w:tcW w:type="dxa" w:w="1800"/>
            <w:vAlign w:val="center"/>
            <w:tcBorders>
              <w:top w:val="single" w:sz="4" w:color="D9D9D9"/>
              <w:left w:val="single" w:sz="4" w:color="D9D9D9"/>
              <w:bottom w:val="single" w:sz="4" w:color="D9D9D9"/>
              <w:right w:val="single" w:sz="4" w:color="D9D9D9"/>
            </w:tcBorders>
            <w:shd w:fill="F7F9FB"/>
            <w:tcMar>
              <w:top w:w="75" w:type="dxa"/>
              <w:bottom w:w="75" w:type="dxa"/>
              <w:left w:w="95" w:type="dxa"/>
              <w:right w:w="95" w:type="dxa"/>
            </w:tcMar>
          </w:tcPr>
          <w:p>
            <w:pPr>
              <w:spacing w:after="0" w:line="259" w:lineRule="auto"/>
            </w:pPr>
            <w:r>
              <w:rPr>
                <w:sz w:val="16"/>
              </w:rPr>
              <w:t>Wes or designee</w:t>
            </w:r>
          </w:p>
        </w:tc>
        <w:tc>
          <w:tcPr>
            <w:tcW w:type="dxa" w:w="5832"/>
            <w:vAlign w:val="center"/>
            <w:tcBorders>
              <w:top w:val="single" w:sz="4" w:color="D9D9D9"/>
              <w:left w:val="single" w:sz="4" w:color="D9D9D9"/>
              <w:bottom w:val="single" w:sz="4" w:color="D9D9D9"/>
              <w:right w:val="single" w:sz="4" w:color="D9D9D9"/>
            </w:tcBorders>
            <w:shd w:fill="F7F9FB"/>
            <w:tcMar>
              <w:top w:w="75" w:type="dxa"/>
              <w:bottom w:w="75" w:type="dxa"/>
              <w:left w:w="95" w:type="dxa"/>
              <w:right w:w="95" w:type="dxa"/>
            </w:tcMar>
          </w:tcPr>
          <w:p>
            <w:pPr>
              <w:spacing w:after="0" w:line="259" w:lineRule="auto"/>
            </w:pPr>
            <w:r>
              <w:rPr>
                <w:sz w:val="16"/>
              </w:rPr>
              <w:t>Send a recycling and battery collection reminder and thank-you with EAC branding.</w:t>
            </w:r>
          </w:p>
        </w:tc>
        <w:tc>
          <w:tcPr>
            <w:tcW w:type="dxa" w:w="2232"/>
            <w:vAlign w:val="center"/>
            <w:tcBorders>
              <w:top w:val="single" w:sz="4" w:color="D9D9D9"/>
              <w:left w:val="single" w:sz="4" w:color="D9D9D9"/>
              <w:bottom w:val="single" w:sz="4" w:color="D9D9D9"/>
              <w:right w:val="single" w:sz="4" w:color="D9D9D9"/>
            </w:tcBorders>
            <w:shd w:fill="F7F9FB"/>
            <w:tcMar>
              <w:top w:w="75" w:type="dxa"/>
              <w:bottom w:w="75" w:type="dxa"/>
              <w:left w:w="95" w:type="dxa"/>
              <w:right w:w="95" w:type="dxa"/>
            </w:tcMar>
          </w:tcPr>
          <w:p>
            <w:pPr>
              <w:spacing w:after="0" w:line="259" w:lineRule="auto"/>
            </w:pPr>
            <w:r>
              <w:rPr>
                <w:sz w:val="16"/>
              </w:rPr>
              <w:t>Next communication</w:t>
            </w:r>
          </w:p>
        </w:tc>
      </w:tr>
      <w:tr>
        <w:trPr>
          <w:cantSplit/>
        </w:trPr>
        <w:tc>
          <w:tcPr>
            <w:tcW w:type="dxa" w:w="1800"/>
            <w:vAlign w:val="center"/>
            <w:tcBorders>
              <w:top w:val="single" w:sz="4" w:color="D9D9D9"/>
              <w:left w:val="single" w:sz="4" w:color="D9D9D9"/>
              <w:bottom w:val="single" w:sz="4" w:color="D9D9D9"/>
              <w:right w:val="single" w:sz="4" w:color="D9D9D9"/>
            </w:tcBorders>
            <w:tcMar>
              <w:top w:w="75" w:type="dxa"/>
              <w:bottom w:w="75" w:type="dxa"/>
              <w:left w:w="95" w:type="dxa"/>
              <w:right w:w="95" w:type="dxa"/>
            </w:tcMar>
          </w:tcPr>
          <w:p>
            <w:pPr>
              <w:spacing w:after="0" w:line="259" w:lineRule="auto"/>
            </w:pPr>
            <w:r>
              <w:rPr>
                <w:sz w:val="16"/>
              </w:rPr>
              <w:t>Lori Palmer</w:t>
            </w:r>
          </w:p>
        </w:tc>
        <w:tc>
          <w:tcPr>
            <w:tcW w:type="dxa" w:w="5832"/>
            <w:vAlign w:val="center"/>
            <w:tcBorders>
              <w:top w:val="single" w:sz="4" w:color="D9D9D9"/>
              <w:left w:val="single" w:sz="4" w:color="D9D9D9"/>
              <w:bottom w:val="single" w:sz="4" w:color="D9D9D9"/>
              <w:right w:val="single" w:sz="4" w:color="D9D9D9"/>
            </w:tcBorders>
            <w:tcMar>
              <w:top w:w="75" w:type="dxa"/>
              <w:bottom w:w="75" w:type="dxa"/>
              <w:left w:w="95" w:type="dxa"/>
              <w:right w:w="95" w:type="dxa"/>
            </w:tcMar>
          </w:tcPr>
          <w:p>
            <w:pPr>
              <w:spacing w:after="0" w:line="259" w:lineRule="auto"/>
            </w:pPr>
            <w:r>
              <w:rPr>
                <w:sz w:val="16"/>
              </w:rPr>
              <w:t>Explore medication return and recycling processes with pharmacy, including satellite clinic handling.</w:t>
            </w:r>
          </w:p>
        </w:tc>
        <w:tc>
          <w:tcPr>
            <w:tcW w:type="dxa" w:w="2232"/>
            <w:vAlign w:val="center"/>
            <w:tcBorders>
              <w:top w:val="single" w:sz="4" w:color="D9D9D9"/>
              <w:left w:val="single" w:sz="4" w:color="D9D9D9"/>
              <w:bottom w:val="single" w:sz="4" w:color="D9D9D9"/>
              <w:right w:val="single" w:sz="4" w:color="D9D9D9"/>
            </w:tcBorders>
            <w:tcMar>
              <w:top w:w="75" w:type="dxa"/>
              <w:bottom w:w="75" w:type="dxa"/>
              <w:left w:w="95" w:type="dxa"/>
              <w:right w:w="95" w:type="dxa"/>
            </w:tcMar>
          </w:tcPr>
          <w:p>
            <w:pPr>
              <w:spacing w:after="0" w:line="259" w:lineRule="auto"/>
            </w:pPr>
            <w:r>
              <w:rPr>
                <w:sz w:val="16"/>
              </w:rPr>
              <w:t>Report back</w:t>
            </w:r>
          </w:p>
        </w:tc>
      </w:tr>
      <w:tr>
        <w:trPr>
          <w:cantSplit/>
        </w:trPr>
        <w:tc>
          <w:tcPr>
            <w:tcW w:type="dxa" w:w="1800"/>
            <w:vAlign w:val="center"/>
            <w:tcBorders>
              <w:top w:val="single" w:sz="4" w:color="D9D9D9"/>
              <w:left w:val="single" w:sz="4" w:color="D9D9D9"/>
              <w:bottom w:val="single" w:sz="4" w:color="D9D9D9"/>
              <w:right w:val="single" w:sz="4" w:color="D9D9D9"/>
            </w:tcBorders>
            <w:shd w:fill="F7F9FB"/>
            <w:tcMar>
              <w:top w:w="75" w:type="dxa"/>
              <w:bottom w:w="75" w:type="dxa"/>
              <w:left w:w="95" w:type="dxa"/>
              <w:right w:w="95" w:type="dxa"/>
            </w:tcMar>
          </w:tcPr>
          <w:p>
            <w:pPr>
              <w:spacing w:after="0" w:line="259" w:lineRule="auto"/>
            </w:pPr>
            <w:r>
              <w:rPr>
                <w:sz w:val="16"/>
              </w:rPr>
              <w:t>Megan and Emily</w:t>
            </w:r>
          </w:p>
        </w:tc>
        <w:tc>
          <w:tcPr>
            <w:tcW w:type="dxa" w:w="5832"/>
            <w:vAlign w:val="center"/>
            <w:tcBorders>
              <w:top w:val="single" w:sz="4" w:color="D9D9D9"/>
              <w:left w:val="single" w:sz="4" w:color="D9D9D9"/>
              <w:bottom w:val="single" w:sz="4" w:color="D9D9D9"/>
              <w:right w:val="single" w:sz="4" w:color="D9D9D9"/>
            </w:tcBorders>
            <w:shd w:fill="F7F9FB"/>
            <w:tcMar>
              <w:top w:w="75" w:type="dxa"/>
              <w:bottom w:w="75" w:type="dxa"/>
              <w:left w:w="95" w:type="dxa"/>
              <w:right w:w="95" w:type="dxa"/>
            </w:tcMar>
          </w:tcPr>
          <w:p>
            <w:pPr>
              <w:spacing w:after="0" w:line="259" w:lineRule="auto"/>
            </w:pPr>
            <w:r>
              <w:rPr>
                <w:sz w:val="16"/>
              </w:rPr>
              <w:t>Review the communication guide from a clinical perspective and send edits.</w:t>
            </w:r>
          </w:p>
        </w:tc>
        <w:tc>
          <w:tcPr>
            <w:tcW w:type="dxa" w:w="2232"/>
            <w:vAlign w:val="center"/>
            <w:tcBorders>
              <w:top w:val="single" w:sz="4" w:color="D9D9D9"/>
              <w:left w:val="single" w:sz="4" w:color="D9D9D9"/>
              <w:bottom w:val="single" w:sz="4" w:color="D9D9D9"/>
              <w:right w:val="single" w:sz="4" w:color="D9D9D9"/>
            </w:tcBorders>
            <w:shd w:fill="F7F9FB"/>
            <w:tcMar>
              <w:top w:w="75" w:type="dxa"/>
              <w:bottom w:w="75" w:type="dxa"/>
              <w:left w:w="95" w:type="dxa"/>
              <w:right w:w="95" w:type="dxa"/>
            </w:tcMar>
          </w:tcPr>
          <w:p>
            <w:pPr>
              <w:spacing w:after="0" w:line="259" w:lineRule="auto"/>
            </w:pPr>
            <w:r>
              <w:rPr>
                <w:sz w:val="16"/>
              </w:rPr>
              <w:t>Within approximately one week</w:t>
            </w:r>
          </w:p>
        </w:tc>
      </w:tr>
      <w:tr>
        <w:trPr>
          <w:cantSplit/>
        </w:trPr>
        <w:tc>
          <w:tcPr>
            <w:tcW w:type="dxa" w:w="1800"/>
            <w:vAlign w:val="center"/>
            <w:tcBorders>
              <w:top w:val="single" w:sz="4" w:color="D9D9D9"/>
              <w:left w:val="single" w:sz="4" w:color="D9D9D9"/>
              <w:bottom w:val="single" w:sz="4" w:color="D9D9D9"/>
              <w:right w:val="single" w:sz="4" w:color="D9D9D9"/>
            </w:tcBorders>
            <w:tcMar>
              <w:top w:w="75" w:type="dxa"/>
              <w:bottom w:w="75" w:type="dxa"/>
              <w:left w:w="95" w:type="dxa"/>
              <w:right w:w="95" w:type="dxa"/>
            </w:tcMar>
          </w:tcPr>
          <w:p>
            <w:pPr>
              <w:spacing w:after="0" w:line="259" w:lineRule="auto"/>
            </w:pPr>
            <w:r>
              <w:rPr>
                <w:sz w:val="16"/>
              </w:rPr>
              <w:t>Communication guide lead</w:t>
            </w:r>
          </w:p>
        </w:tc>
        <w:tc>
          <w:tcPr>
            <w:tcW w:type="dxa" w:w="5832"/>
            <w:vAlign w:val="center"/>
            <w:tcBorders>
              <w:top w:val="single" w:sz="4" w:color="D9D9D9"/>
              <w:left w:val="single" w:sz="4" w:color="D9D9D9"/>
              <w:bottom w:val="single" w:sz="4" w:color="D9D9D9"/>
              <w:right w:val="single" w:sz="4" w:color="D9D9D9"/>
            </w:tcBorders>
            <w:tcMar>
              <w:top w:w="75" w:type="dxa"/>
              <w:bottom w:w="75" w:type="dxa"/>
              <w:left w:w="95" w:type="dxa"/>
              <w:right w:w="95" w:type="dxa"/>
            </w:tcMar>
          </w:tcPr>
          <w:p>
            <w:pPr>
              <w:spacing w:after="0" w:line="259" w:lineRule="auto"/>
            </w:pPr>
            <w:r>
              <w:rPr>
                <w:sz w:val="16"/>
              </w:rPr>
              <w:t>Incorporate manager and clinic feedback, including Epic, Vocera, Outlook room booking, and Intermedia instructions; distribute the guide.</w:t>
            </w:r>
          </w:p>
        </w:tc>
        <w:tc>
          <w:tcPr>
            <w:tcW w:type="dxa" w:w="2232"/>
            <w:vAlign w:val="center"/>
            <w:tcBorders>
              <w:top w:val="single" w:sz="4" w:color="D9D9D9"/>
              <w:left w:val="single" w:sz="4" w:color="D9D9D9"/>
              <w:bottom w:val="single" w:sz="4" w:color="D9D9D9"/>
              <w:right w:val="single" w:sz="4" w:color="D9D9D9"/>
            </w:tcBorders>
            <w:tcMar>
              <w:top w:w="75" w:type="dxa"/>
              <w:bottom w:w="75" w:type="dxa"/>
              <w:left w:w="95" w:type="dxa"/>
              <w:right w:w="95" w:type="dxa"/>
            </w:tcMar>
          </w:tcPr>
          <w:p>
            <w:pPr>
              <w:spacing w:after="0" w:line="259" w:lineRule="auto"/>
            </w:pPr>
            <w:r>
              <w:rPr>
                <w:sz w:val="16"/>
              </w:rPr>
              <w:t>After revisions</w:t>
            </w:r>
          </w:p>
        </w:tc>
      </w:tr>
      <w:tr>
        <w:trPr>
          <w:cantSplit/>
        </w:trPr>
        <w:tc>
          <w:tcPr>
            <w:tcW w:type="dxa" w:w="1800"/>
            <w:vAlign w:val="center"/>
            <w:tcBorders>
              <w:top w:val="single" w:sz="4" w:color="D9D9D9"/>
              <w:left w:val="single" w:sz="4" w:color="D9D9D9"/>
              <w:bottom w:val="single" w:sz="4" w:color="D9D9D9"/>
              <w:right w:val="single" w:sz="4" w:color="D9D9D9"/>
            </w:tcBorders>
            <w:shd w:fill="F7F9FB"/>
            <w:tcMar>
              <w:top w:w="75" w:type="dxa"/>
              <w:bottom w:w="75" w:type="dxa"/>
              <w:left w:w="95" w:type="dxa"/>
              <w:right w:w="95" w:type="dxa"/>
            </w:tcMar>
          </w:tcPr>
          <w:p>
            <w:pPr>
              <w:spacing w:after="0" w:line="259" w:lineRule="auto"/>
            </w:pPr>
            <w:r>
              <w:rPr>
                <w:sz w:val="16"/>
              </w:rPr>
              <w:t>Ben and HR team</w:t>
            </w:r>
          </w:p>
        </w:tc>
        <w:tc>
          <w:tcPr>
            <w:tcW w:type="dxa" w:w="5832"/>
            <w:vAlign w:val="center"/>
            <w:tcBorders>
              <w:top w:val="single" w:sz="4" w:color="D9D9D9"/>
              <w:left w:val="single" w:sz="4" w:color="D9D9D9"/>
              <w:bottom w:val="single" w:sz="4" w:color="D9D9D9"/>
              <w:right w:val="single" w:sz="4" w:color="D9D9D9"/>
            </w:tcBorders>
            <w:shd w:fill="F7F9FB"/>
            <w:tcMar>
              <w:top w:w="75" w:type="dxa"/>
              <w:bottom w:w="75" w:type="dxa"/>
              <w:left w:w="95" w:type="dxa"/>
              <w:right w:w="95" w:type="dxa"/>
            </w:tcMar>
          </w:tcPr>
          <w:p>
            <w:pPr>
              <w:spacing w:after="0" w:line="259" w:lineRule="auto"/>
            </w:pPr>
            <w:r>
              <w:rPr>
                <w:sz w:val="16"/>
              </w:rPr>
              <w:t>Develop weekly policy reminders and feedback approach; check HealthStream or existing tools for searchable tracking and QR access.</w:t>
            </w:r>
          </w:p>
        </w:tc>
        <w:tc>
          <w:tcPr>
            <w:tcW w:type="dxa" w:w="2232"/>
            <w:vAlign w:val="center"/>
            <w:tcBorders>
              <w:top w:val="single" w:sz="4" w:color="D9D9D9"/>
              <w:left w:val="single" w:sz="4" w:color="D9D9D9"/>
              <w:bottom w:val="single" w:sz="4" w:color="D9D9D9"/>
              <w:right w:val="single" w:sz="4" w:color="D9D9D9"/>
            </w:tcBorders>
            <w:shd w:fill="F7F9FB"/>
            <w:tcMar>
              <w:top w:w="75" w:type="dxa"/>
              <w:bottom w:w="75" w:type="dxa"/>
              <w:left w:w="95" w:type="dxa"/>
              <w:right w:w="95" w:type="dxa"/>
            </w:tcMar>
          </w:tcPr>
          <w:p>
            <w:pPr>
              <w:spacing w:after="0" w:line="259" w:lineRule="auto"/>
            </w:pPr>
            <w:r>
              <w:rPr>
                <w:sz w:val="16"/>
              </w:rPr>
              <w:t>Explore and report back</w:t>
            </w:r>
          </w:p>
        </w:tc>
      </w:tr>
      <w:tr>
        <w:trPr>
          <w:cantSplit/>
        </w:trPr>
        <w:tc>
          <w:tcPr>
            <w:tcW w:type="dxa" w:w="1800"/>
            <w:vAlign w:val="center"/>
            <w:tcBorders>
              <w:top w:val="single" w:sz="4" w:color="D9D9D9"/>
              <w:left w:val="single" w:sz="4" w:color="D9D9D9"/>
              <w:bottom w:val="single" w:sz="4" w:color="D9D9D9"/>
              <w:right w:val="single" w:sz="4" w:color="D9D9D9"/>
            </w:tcBorders>
            <w:tcMar>
              <w:top w:w="75" w:type="dxa"/>
              <w:bottom w:w="75" w:type="dxa"/>
              <w:left w:w="95" w:type="dxa"/>
              <w:right w:w="95" w:type="dxa"/>
            </w:tcMar>
          </w:tcPr>
          <w:p>
            <w:pPr>
              <w:spacing w:after="0" w:line="259" w:lineRule="auto"/>
            </w:pPr>
            <w:r>
              <w:rPr>
                <w:sz w:val="16"/>
              </w:rPr>
              <w:t>EAC members</w:t>
            </w:r>
          </w:p>
        </w:tc>
        <w:tc>
          <w:tcPr>
            <w:tcW w:type="dxa" w:w="5832"/>
            <w:vAlign w:val="center"/>
            <w:tcBorders>
              <w:top w:val="single" w:sz="4" w:color="D9D9D9"/>
              <w:left w:val="single" w:sz="4" w:color="D9D9D9"/>
              <w:bottom w:val="single" w:sz="4" w:color="D9D9D9"/>
              <w:right w:val="single" w:sz="4" w:color="D9D9D9"/>
            </w:tcBorders>
            <w:tcMar>
              <w:top w:w="75" w:type="dxa"/>
              <w:bottom w:w="75" w:type="dxa"/>
              <w:left w:w="95" w:type="dxa"/>
              <w:right w:w="95" w:type="dxa"/>
            </w:tcMar>
          </w:tcPr>
          <w:p>
            <w:pPr>
              <w:spacing w:after="0" w:line="259" w:lineRule="auto"/>
            </w:pPr>
            <w:r>
              <w:rPr>
                <w:sz w:val="16"/>
              </w:rPr>
              <w:t>Review dress code and recognition drafts and help plan October civility activities through Teams.</w:t>
            </w:r>
          </w:p>
        </w:tc>
        <w:tc>
          <w:tcPr>
            <w:tcW w:type="dxa" w:w="2232"/>
            <w:vAlign w:val="center"/>
            <w:tcBorders>
              <w:top w:val="single" w:sz="4" w:color="D9D9D9"/>
              <w:left w:val="single" w:sz="4" w:color="D9D9D9"/>
              <w:bottom w:val="single" w:sz="4" w:color="D9D9D9"/>
              <w:right w:val="single" w:sz="4" w:color="D9D9D9"/>
            </w:tcBorders>
            <w:tcMar>
              <w:top w:w="75" w:type="dxa"/>
              <w:bottom w:w="75" w:type="dxa"/>
              <w:left w:w="95" w:type="dxa"/>
              <w:right w:w="95" w:type="dxa"/>
            </w:tcMar>
          </w:tcPr>
          <w:p>
            <w:pPr>
              <w:spacing w:after="0" w:line="259" w:lineRule="auto"/>
            </w:pPr>
            <w:r>
              <w:rPr>
                <w:sz w:val="16"/>
              </w:rPr>
              <w:t>Before or during October meeting</w:t>
            </w:r>
          </w:p>
        </w:tc>
      </w:tr>
      <w:tr>
        <w:trPr>
          <w:cantSplit/>
        </w:trPr>
        <w:tc>
          <w:tcPr>
            <w:tcW w:type="dxa" w:w="1800"/>
            <w:vAlign w:val="center"/>
            <w:tcBorders>
              <w:top w:val="single" w:sz="4" w:color="D9D9D9"/>
              <w:left w:val="single" w:sz="4" w:color="D9D9D9"/>
              <w:bottom w:val="single" w:sz="4" w:color="D9D9D9"/>
              <w:right w:val="single" w:sz="4" w:color="D9D9D9"/>
            </w:tcBorders>
            <w:shd w:fill="F7F9FB"/>
            <w:tcMar>
              <w:top w:w="75" w:type="dxa"/>
              <w:bottom w:w="75" w:type="dxa"/>
              <w:left w:w="95" w:type="dxa"/>
              <w:right w:w="95" w:type="dxa"/>
            </w:tcMar>
          </w:tcPr>
          <w:p>
            <w:pPr>
              <w:spacing w:after="0" w:line="259" w:lineRule="auto"/>
            </w:pPr>
            <w:r>
              <w:rPr>
                <w:sz w:val="16"/>
              </w:rPr>
              <w:t>Lori and Heather</w:t>
            </w:r>
          </w:p>
        </w:tc>
        <w:tc>
          <w:tcPr>
            <w:tcW w:type="dxa" w:w="5832"/>
            <w:vAlign w:val="center"/>
            <w:tcBorders>
              <w:top w:val="single" w:sz="4" w:color="D9D9D9"/>
              <w:left w:val="single" w:sz="4" w:color="D9D9D9"/>
              <w:bottom w:val="single" w:sz="4" w:color="D9D9D9"/>
              <w:right w:val="single" w:sz="4" w:color="D9D9D9"/>
            </w:tcBorders>
            <w:shd w:fill="F7F9FB"/>
            <w:tcMar>
              <w:top w:w="75" w:type="dxa"/>
              <w:bottom w:w="75" w:type="dxa"/>
              <w:left w:w="95" w:type="dxa"/>
              <w:right w:w="95" w:type="dxa"/>
            </w:tcMar>
          </w:tcPr>
          <w:p>
            <w:pPr>
              <w:spacing w:after="0" w:line="259" w:lineRule="auto"/>
            </w:pPr>
            <w:r>
              <w:rPr>
                <w:sz w:val="16"/>
              </w:rPr>
              <w:t>Coordinate a Penn Avenue session on 340B and EAC outreach.</w:t>
            </w:r>
          </w:p>
        </w:tc>
        <w:tc>
          <w:tcPr>
            <w:tcW w:type="dxa" w:w="2232"/>
            <w:vAlign w:val="center"/>
            <w:tcBorders>
              <w:top w:val="single" w:sz="4" w:color="D9D9D9"/>
              <w:left w:val="single" w:sz="4" w:color="D9D9D9"/>
              <w:bottom w:val="single" w:sz="4" w:color="D9D9D9"/>
              <w:right w:val="single" w:sz="4" w:color="D9D9D9"/>
            </w:tcBorders>
            <w:shd w:fill="F7F9FB"/>
            <w:tcMar>
              <w:top w:w="75" w:type="dxa"/>
              <w:bottom w:w="75" w:type="dxa"/>
              <w:left w:w="95" w:type="dxa"/>
              <w:right w:w="95" w:type="dxa"/>
            </w:tcMar>
          </w:tcPr>
          <w:p>
            <w:pPr>
              <w:spacing w:after="0" w:line="259" w:lineRule="auto"/>
            </w:pPr>
            <w:r>
              <w:rPr>
                <w:sz w:val="16"/>
              </w:rPr>
              <w:t>Proposed for October</w:t>
            </w:r>
          </w:p>
        </w:tc>
      </w:tr>
    </w:tbl>
    <w:p>
      <w:pPr>
        <w:spacing w:after="0"/>
      </w:pPr>
    </w:p>
    <w:p>
      <w:pPr>
        <w:pStyle w:val="Heading1"/>
      </w:pPr>
      <w:r>
        <w:t>Organizational updates and next meeting</w:t>
      </w:r>
    </w:p>
    <w:p>
      <w:r>
        <w:t>The council was told that a holiday policy update adding Juneteenth had passed the board, bringing the stated total to nine holidays. A travel reimbursement policy amount was also updated; the meeting did not establish the new amount. The speaker announced an upcoming transition into the executive director role currently held by Brenda Hostetler, who plans to retire at year end, and asked that the timing of broader communication be respected. An additional EAC meeting was anticipated for October. No exact meeting date was confirmed.</w:t>
      </w:r>
    </w:p>
    <w:p>
      <w:r>
        <w:t>Prepared from the dictated discussion. Speaker names and deadlines are included where the recording supplied them; this draft should be reviewed before circulation.</w:t>
      </w:r>
    </w:p>
    <w:sectPr w:rsidR="00FC693F" w:rsidRPr="0006063C" w:rsidSect="00034616">
      <w:footerReference w:type="default" r:id="rId9"/>
      <w:pgSz w:w="12240" w:h="15840"/>
      <w:pgMar w:top="893" w:right="1123" w:bottom="864" w:left="1123"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rPr>
        <w:sz w:val="16"/>
      </w:rPr>
      <w:t>River Hills EAC  •  Internal draft</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60" w:line="250" w:lineRule="auto"/>
    </w:pPr>
    <w:rPr>
      <w:rFonts w:ascii="Aptos" w:hAnsi="Aptos"/>
      <w:color w:val="000000"/>
      <w:sz w:val="19"/>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180" w:after="100"/>
      <w:outlineLvl w:val="0"/>
    </w:pPr>
    <w:rPr>
      <w:rFonts w:asciiTheme="majorHAnsi" w:eastAsiaTheme="majorEastAsia" w:hAnsiTheme="majorHAnsi" w:cstheme="majorBidi" w:ascii="Aptos" w:hAnsi="Aptos"/>
      <w:b/>
      <w:bCs/>
      <w:color w:val="000000"/>
      <w:sz w:val="24"/>
      <w:szCs w:val="28"/>
    </w:rPr>
  </w:style>
  <w:style w:type="paragraph" w:styleId="Heading2">
    <w:name w:val="heading 2"/>
    <w:basedOn w:val="Normal"/>
    <w:next w:val="Normal"/>
    <w:link w:val="Heading2Char"/>
    <w:uiPriority w:val="9"/>
    <w:unhideWhenUsed/>
    <w:qFormat/>
    <w:rsid w:val="00FC693F"/>
    <w:pPr>
      <w:keepNext/>
      <w:keepLines/>
      <w:spacing w:before="120" w:after="60"/>
      <w:outlineLvl w:val="1"/>
    </w:pPr>
    <w:rPr>
      <w:rFonts w:asciiTheme="majorHAnsi" w:eastAsiaTheme="majorEastAsia" w:hAnsiTheme="majorHAnsi" w:cstheme="majorBidi" w:ascii="Aptos" w:hAnsi="Aptos"/>
      <w:b/>
      <w:bCs/>
      <w:color w:val="000000"/>
      <w:sz w:val="20"/>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160" w:line="240" w:lineRule="auto"/>
      <w:contextualSpacing/>
      <w:pBdr/>
    </w:pPr>
    <w:rPr>
      <w:rFonts w:asciiTheme="majorHAnsi" w:eastAsiaTheme="majorEastAsia" w:hAnsiTheme="majorHAnsi" w:cstheme="majorBidi" w:ascii="Aptos" w:hAnsi="Aptos"/>
      <w:b/>
      <w:color w:val="000000"/>
      <w:spacing w:val="5"/>
      <w:kern w:val="28"/>
      <w:sz w:val="36"/>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